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Kdy budou známky na popelnice? Kolik budou stát popelnice?</w:t>
      </w:r>
    </w:p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Předpis poplatků pro TDO na 2019 byl schválen  na Zasedání zastupitelstva dne 30.1.2019, pro rok 2019 je výše poplatku stanovena na 432,- Kč za dospělého a 309,- Kč za dítě do 15 let. Známka na nádoby TDO byla distribuována všem producentům s vyrovnanými závazky za předchozí období, dlužníkům až po uhrazení nedoplatků a pohledávek. Poplatek je možné platit na bankovní účet obce nebo na pokladně Obecního úřadu.</w:t>
      </w:r>
    </w:p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Mám uhrazené všechny poplatky?</w:t>
      </w:r>
      <w:r>
        <w:rPr>
          <w:rFonts w:ascii="Georgia" w:hAnsi="Georgia"/>
          <w:color w:val="333333"/>
        </w:rPr>
        <w:br/>
        <w:t>V lednu proběhla revize dlužných částek za místní poplatky i za platby stočného (odvádění odpadních vod). Poplatníci s neuhrazenými závazky byli kontaktováni písemně s uvedením příslušných dlužných částek.  Další revize proběhne v červenci, kde předmětem kontroly bude úhrada místních poplatků za rok 2019 a stočného za 1. a 2. čtvrtletí. Informace o neuhrazených platbách budou předány do poštovní schránky.</w:t>
      </w:r>
    </w:p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Kolik stojí stočné?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t>Pro rok 2019 byl na Zasedání zastupitelů dne 30.1.2019 stanoven poplatek stočného 53,- Kč/m3/osobu (s DPH)při měrném čísle 35 m3/osobu a rok. Fakturace proběhne 4x ročně - vždy pro každé čtvrtletí. Přepočet částky stočného na osobu a čtvrtletí = 464,-Kč s DPH. Fakturaci stočného (platba za odvádění odpadních vod) vystavuje  Obec Přerov nad Labem, která je provozovatel ČOV.</w:t>
      </w:r>
    </w:p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Kdy a kdo se mnou uzavře smlouvu na odběr pitné vody?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t xml:space="preserve">Smlouvy na odběr bude s uživateli uzavírat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Nymburk jakožto provozovatel dod7ávek pitné vody. Obec Přerov nad Labem není provozovatel vodovodu.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Nymburk obešle všechny majitele nemovitostí, ve kterých bylo pracovníky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provedeno připojení vodoměrné sestavy a vodoměru.</w:t>
      </w:r>
    </w:p>
    <w:p w:rsidR="00E3244D" w:rsidRDefault="00E3244D" w:rsidP="00E3244D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Ještě nemám připojenou nemovitost na přípojku k vodovodu, nemám namontován vodoměr. Jak mám postupovat?</w:t>
      </w:r>
      <w:r>
        <w:rPr>
          <w:rFonts w:ascii="Georgia" w:hAnsi="Georgia"/>
          <w:color w:val="333333"/>
        </w:rPr>
        <w:br/>
        <w:t xml:space="preserve">Montáže vodoměrné sestavy a instalace vodoměrů provádí pouze pracovníci  firmy  </w:t>
      </w:r>
      <w:proofErr w:type="spellStart"/>
      <w:r>
        <w:rPr>
          <w:rFonts w:ascii="Georgia" w:hAnsi="Georgia"/>
          <w:color w:val="333333"/>
        </w:rPr>
        <w:t>VaK</w:t>
      </w:r>
      <w:proofErr w:type="spellEnd"/>
      <w:r>
        <w:rPr>
          <w:rFonts w:ascii="Georgia" w:hAnsi="Georgia"/>
          <w:color w:val="333333"/>
        </w:rPr>
        <w:t xml:space="preserve"> Nymburk dle možností firmy a dle aktuálních klimatických podmínek. Kontaktní osobou je </w:t>
      </w:r>
      <w:r>
        <w:rPr>
          <w:rFonts w:ascii="Georgia" w:hAnsi="Georgia"/>
          <w:b/>
          <w:bCs/>
          <w:i/>
          <w:iCs/>
          <w:color w:val="333333"/>
        </w:rPr>
        <w:t xml:space="preserve">pan Petr Novotný (VS Milovice) - </w:t>
      </w:r>
      <w:r>
        <w:rPr>
          <w:rFonts w:ascii="Georgia" w:hAnsi="Georgia"/>
          <w:color w:val="333333"/>
        </w:rPr>
        <w:t>tel.</w:t>
      </w:r>
      <w:r>
        <w:rPr>
          <w:rStyle w:val="Siln"/>
          <w:rFonts w:ascii="Georgia" w:hAnsi="Georgia"/>
          <w:color w:val="333333"/>
        </w:rPr>
        <w:t xml:space="preserve"> 325  575 890  nebo 602 6214 06</w:t>
      </w:r>
    </w:p>
    <w:p w:rsidR="000A5D9C" w:rsidRDefault="000A5D9C">
      <w:bookmarkStart w:id="0" w:name="_GoBack"/>
      <w:bookmarkEnd w:id="0"/>
    </w:p>
    <w:sectPr w:rsidR="000A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D"/>
    <w:rsid w:val="000A5D9C"/>
    <w:rsid w:val="00E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24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24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867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2020-01-27T19:09:00Z</dcterms:created>
  <dcterms:modified xsi:type="dcterms:W3CDTF">2020-01-27T19:10:00Z</dcterms:modified>
</cp:coreProperties>
</file>